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3B176" w14:textId="65515D4E" w:rsidR="00353FAE" w:rsidRDefault="00AA435B" w:rsidP="00353FAE">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#87-e</w:t>
      </w:r>
      <w:r w:rsidR="00353FAE">
        <w:rPr>
          <w:rFonts w:ascii="Arial" w:hAnsi="Arial" w:cs="Arial"/>
          <w:b/>
          <w:sz w:val="24"/>
          <w:lang w:val="en-US"/>
        </w:rPr>
        <w:tab/>
      </w:r>
      <w:r w:rsidR="00353FAE">
        <w:rPr>
          <w:rFonts w:ascii="Arial" w:hAnsi="Arial" w:cs="Arial"/>
          <w:b/>
          <w:sz w:val="24"/>
          <w:lang w:val="en-US"/>
        </w:rPr>
        <w:tab/>
      </w:r>
      <w:r w:rsidR="00731227" w:rsidRPr="00731227">
        <w:rPr>
          <w:rFonts w:ascii="Arial" w:hAnsi="Arial" w:cs="Arial"/>
          <w:b/>
          <w:sz w:val="24"/>
          <w:lang w:val="en-US"/>
        </w:rPr>
        <w:t>R5-202117</w:t>
      </w:r>
      <w:r w:rsidR="00353FAE">
        <w:rPr>
          <w:rFonts w:ascii="Arial" w:hAnsi="Arial" w:cs="Arial"/>
          <w:b/>
          <w:sz w:val="24"/>
          <w:lang w:val="en-US"/>
        </w:rPr>
        <w:br/>
      </w:r>
      <w:bookmarkEnd w:id="0"/>
      <w:r w:rsidRPr="00AA435B">
        <w:rPr>
          <w:rFonts w:ascii="Arial" w:hAnsi="Arial" w:cs="Arial"/>
          <w:b/>
          <w:sz w:val="24"/>
        </w:rPr>
        <w:t>Electronic Meeting, 18 May – 29 May 2020</w:t>
      </w:r>
    </w:p>
    <w:p w14:paraId="35952387" w14:textId="77777777" w:rsidR="00816C9D" w:rsidRPr="0008103A" w:rsidRDefault="00816C9D" w:rsidP="00816C9D">
      <w:pPr>
        <w:rPr>
          <w:rFonts w:ascii="Arial" w:hAnsi="Arial" w:cs="Arial"/>
          <w:b/>
          <w:sz w:val="24"/>
          <w:szCs w:val="24"/>
        </w:rPr>
      </w:pPr>
    </w:p>
    <w:p w14:paraId="35952388" w14:textId="19279CD8"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8D21AD">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54D1683F"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3" w:name="_Hlk517280009"/>
      <w:r w:rsidR="001D6A52">
        <w:rPr>
          <w:rFonts w:ascii="Arial" w:hAnsi="Arial" w:cs="Arial"/>
          <w:sz w:val="24"/>
          <w:szCs w:val="24"/>
        </w:rPr>
        <w:t xml:space="preserve">On UBF for </w:t>
      </w:r>
      <w:r w:rsidR="0068212A">
        <w:rPr>
          <w:rFonts w:ascii="Arial" w:hAnsi="Arial" w:cs="Arial"/>
          <w:sz w:val="24"/>
          <w:szCs w:val="24"/>
        </w:rPr>
        <w:t xml:space="preserve">Intra-Band </w:t>
      </w:r>
      <w:r w:rsidR="001D6A52">
        <w:rPr>
          <w:rFonts w:ascii="Arial" w:hAnsi="Arial" w:cs="Arial"/>
          <w:sz w:val="24"/>
          <w:szCs w:val="24"/>
        </w:rPr>
        <w:t>Carrier Aggregation</w:t>
      </w:r>
      <w:r w:rsidR="00861C5F">
        <w:rPr>
          <w:rFonts w:ascii="Arial" w:hAnsi="Arial" w:cs="Arial"/>
          <w:b/>
          <w:sz w:val="24"/>
          <w:szCs w:val="24"/>
        </w:rPr>
        <w:t xml:space="preserve"> </w:t>
      </w:r>
      <w:bookmarkEnd w:id="3"/>
    </w:p>
    <w:p w14:paraId="3595238B" w14:textId="04310CCC"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AA435B">
        <w:rPr>
          <w:rFonts w:ascii="Arial" w:hAnsi="Arial" w:cs="Arial"/>
          <w:sz w:val="24"/>
          <w:szCs w:val="24"/>
        </w:rPr>
        <w:t>Discussion</w:t>
      </w:r>
      <w:r w:rsidR="00E6037F">
        <w:rPr>
          <w:rFonts w:ascii="Arial" w:hAnsi="Arial" w:cs="Arial"/>
          <w:sz w:val="24"/>
          <w:szCs w:val="24"/>
        </w:rPr>
        <w:t xml:space="preserve"> for Endorsement</w:t>
      </w:r>
    </w:p>
    <w:bookmarkEnd w:id="1"/>
    <w:p w14:paraId="3595238C" w14:textId="77777777" w:rsidR="00816C9D" w:rsidRDefault="00816C9D" w:rsidP="001E1CF6">
      <w:pPr>
        <w:pStyle w:val="Heading1"/>
        <w:ind w:left="567" w:hanging="567"/>
      </w:pPr>
      <w:r w:rsidRPr="00647B25">
        <w:t>Introduction</w:t>
      </w:r>
    </w:p>
    <w:p w14:paraId="3595238D" w14:textId="358F8EEA" w:rsidR="000606FD" w:rsidRDefault="001D6A52" w:rsidP="000606FD">
      <w:pPr>
        <w:ind w:left="48"/>
        <w:rPr>
          <w:rFonts w:eastAsia="Batang"/>
        </w:rPr>
      </w:pPr>
      <w:r>
        <w:rPr>
          <w:rFonts w:eastAsia="Batang"/>
        </w:rPr>
        <w:t xml:space="preserve">This contribution is </w:t>
      </w:r>
      <w:r w:rsidR="00C06517">
        <w:rPr>
          <w:rFonts w:eastAsia="Batang"/>
        </w:rPr>
        <w:t>discussing the need to further clarify the</w:t>
      </w:r>
      <w:r>
        <w:rPr>
          <w:rFonts w:eastAsia="Batang"/>
        </w:rPr>
        <w:t xml:space="preserve"> UBF, defined in </w:t>
      </w:r>
      <w:r>
        <w:rPr>
          <w:rFonts w:eastAsia="Batang"/>
        </w:rPr>
        <w:fldChar w:fldCharType="begin"/>
      </w:r>
      <w:r>
        <w:rPr>
          <w:rFonts w:eastAsia="Batang"/>
        </w:rPr>
        <w:instrText xml:space="preserve"> REF _Ref38546743 \r \h </w:instrText>
      </w:r>
      <w:r>
        <w:rPr>
          <w:rFonts w:eastAsia="Batang"/>
        </w:rPr>
      </w:r>
      <w:r>
        <w:rPr>
          <w:rFonts w:eastAsia="Batang"/>
        </w:rPr>
        <w:fldChar w:fldCharType="separate"/>
      </w:r>
      <w:r w:rsidR="00D20FC8">
        <w:rPr>
          <w:rFonts w:eastAsia="Batang"/>
        </w:rPr>
        <w:t>[1]</w:t>
      </w:r>
      <w:r>
        <w:rPr>
          <w:rFonts w:eastAsia="Batang"/>
        </w:rPr>
        <w:fldChar w:fldCharType="end"/>
      </w:r>
      <w:r>
        <w:rPr>
          <w:rFonts w:eastAsia="Batang"/>
        </w:rPr>
        <w:t xml:space="preserve">, </w:t>
      </w:r>
      <w:r w:rsidR="00C06517">
        <w:rPr>
          <w:rFonts w:eastAsia="Batang"/>
        </w:rPr>
        <w:t>and the need to augment the applicability of the UBF for Carrier Aggregation (CA)</w:t>
      </w:r>
      <w:r>
        <w:rPr>
          <w:rFonts w:eastAsia="Batang"/>
        </w:rPr>
        <w:t xml:space="preserve">. </w:t>
      </w:r>
    </w:p>
    <w:p w14:paraId="3595238E" w14:textId="77777777" w:rsidR="0053435C" w:rsidRDefault="00AF0F4C" w:rsidP="0053435C">
      <w:pPr>
        <w:pStyle w:val="Heading1"/>
        <w:ind w:left="567" w:hanging="567"/>
      </w:pPr>
      <w:r>
        <w:t>Discussion</w:t>
      </w:r>
    </w:p>
    <w:p w14:paraId="12657C83" w14:textId="14A70D74" w:rsidR="001D6A52" w:rsidRDefault="001D6A52" w:rsidP="001D6A52">
      <w:r>
        <w:t xml:space="preserve">For non-CA test cases, the </w:t>
      </w:r>
      <w:r w:rsidR="0036261C">
        <w:t xml:space="preserve">current </w:t>
      </w:r>
      <w:r>
        <w:t xml:space="preserve">UBF definition in </w:t>
      </w:r>
      <w:r>
        <w:fldChar w:fldCharType="begin"/>
      </w:r>
      <w:r>
        <w:instrText xml:space="preserve"> REF _Ref38546743 \r \h </w:instrText>
      </w:r>
      <w:r>
        <w:fldChar w:fldCharType="separate"/>
      </w:r>
      <w:r w:rsidR="00D20FC8">
        <w:t>[1]</w:t>
      </w:r>
      <w:r>
        <w:fldChar w:fldCharType="end"/>
      </w:r>
      <w:r>
        <w:t xml:space="preserve"> </w:t>
      </w:r>
      <w:r w:rsidR="00C06517">
        <w:t>is</w:t>
      </w:r>
      <w:r>
        <w:t xml:space="preserve"> </w:t>
      </w:r>
      <w:proofErr w:type="gramStart"/>
      <w:r>
        <w:t>sufficient</w:t>
      </w:r>
      <w:proofErr w:type="gramEnd"/>
      <w:r>
        <w:t xml:space="preserve">. Most TX test cases activate the UBF, i.e., for TRP-based test cases, the UBF allows the 3D scan of the pattern with a combined link and measurement antenna while for EIRP-based test cases, activating the UBF allows for a more stable measurement. Only </w:t>
      </w:r>
      <w:r w:rsidR="0036261C">
        <w:t>one</w:t>
      </w:r>
      <w:r>
        <w:t xml:space="preserve"> RX test case, i.e., </w:t>
      </w:r>
      <w:r w:rsidR="00C460DF">
        <w:t xml:space="preserve">Maximum Input Level, </w:t>
      </w:r>
      <w:r w:rsidR="0036261C">
        <w:t xml:space="preserve">currently </w:t>
      </w:r>
      <w:r w:rsidR="00C460DF">
        <w:t>utilize</w:t>
      </w:r>
      <w:r w:rsidR="0036261C">
        <w:t>s</w:t>
      </w:r>
      <w:r w:rsidR="00C460DF">
        <w:t xml:space="preserve"> the UBF. </w:t>
      </w:r>
    </w:p>
    <w:p w14:paraId="39ECF5C5" w14:textId="2DA43609" w:rsidR="0036261C" w:rsidRDefault="00C06517" w:rsidP="001D6A52">
      <w:r>
        <w:t>I</w:t>
      </w:r>
      <w:r w:rsidR="0036261C">
        <w:t>n Rel-16 CA discussions</w:t>
      </w:r>
      <w:r>
        <w:t>, specifically</w:t>
      </w:r>
      <w:r w:rsidR="0036261C">
        <w:t xml:space="preserve"> inter-band </w:t>
      </w:r>
      <w:r>
        <w:t xml:space="preserve">FR2+FR2 </w:t>
      </w:r>
      <w:r w:rsidR="0036261C">
        <w:t xml:space="preserve">CA </w:t>
      </w:r>
      <w:r w:rsidR="0036261C">
        <w:fldChar w:fldCharType="begin"/>
      </w:r>
      <w:r w:rsidR="0036261C">
        <w:instrText xml:space="preserve"> REF _Ref38903634 \r \h </w:instrText>
      </w:r>
      <w:r w:rsidR="0036261C">
        <w:fldChar w:fldCharType="separate"/>
      </w:r>
      <w:r w:rsidR="00D20FC8">
        <w:t>[2]</w:t>
      </w:r>
      <w:r w:rsidR="0036261C">
        <w:fldChar w:fldCharType="end"/>
      </w:r>
      <w:r w:rsidR="0036261C">
        <w:t xml:space="preserve">, </w:t>
      </w:r>
    </w:p>
    <w:tbl>
      <w:tblPr>
        <w:tblStyle w:val="TableGrid"/>
        <w:tblW w:w="0" w:type="auto"/>
        <w:tblLook w:val="04A0" w:firstRow="1" w:lastRow="0" w:firstColumn="1" w:lastColumn="0" w:noHBand="0" w:noVBand="1"/>
      </w:tblPr>
      <w:tblGrid>
        <w:gridCol w:w="9631"/>
      </w:tblGrid>
      <w:tr w:rsidR="0036261C" w14:paraId="286A0551" w14:textId="77777777" w:rsidTr="0036261C">
        <w:tc>
          <w:tcPr>
            <w:tcW w:w="9631" w:type="dxa"/>
          </w:tcPr>
          <w:p w14:paraId="303AC539" w14:textId="77777777" w:rsidR="0036261C" w:rsidRPr="0036261C" w:rsidRDefault="0036261C" w:rsidP="0036261C">
            <w:pPr>
              <w:numPr>
                <w:ilvl w:val="0"/>
                <w:numId w:val="39"/>
              </w:numPr>
              <w:rPr>
                <w:lang w:val="en-US"/>
              </w:rPr>
            </w:pPr>
            <w:r w:rsidRPr="0036261C">
              <w:rPr>
                <w:highlight w:val="yellow"/>
                <w:lang w:val="en-US"/>
              </w:rPr>
              <w:t>UE is assumed to be feasible to have independent beam management</w:t>
            </w:r>
            <w:r w:rsidRPr="0036261C">
              <w:rPr>
                <w:lang w:val="en-US"/>
              </w:rPr>
              <w:t xml:space="preserve"> for the bands that are part of supported band configuration in inter-band CA for 28 GHz + 39 GHz combinations.</w:t>
            </w:r>
          </w:p>
          <w:p w14:paraId="59ACE43D" w14:textId="77777777" w:rsidR="0036261C" w:rsidRPr="0036261C" w:rsidRDefault="0036261C" w:rsidP="0036261C">
            <w:pPr>
              <w:numPr>
                <w:ilvl w:val="1"/>
                <w:numId w:val="39"/>
              </w:numPr>
              <w:rPr>
                <w:lang w:val="en-US"/>
              </w:rPr>
            </w:pPr>
            <w:r w:rsidRPr="0036261C">
              <w:rPr>
                <w:lang w:val="en-US"/>
              </w:rPr>
              <w:t>“28GHz” stands for a band group includes n257, n258, n261</w:t>
            </w:r>
          </w:p>
          <w:p w14:paraId="6920BFC6" w14:textId="77955A1C" w:rsidR="0036261C" w:rsidRPr="0036261C" w:rsidRDefault="0036261C" w:rsidP="0036261C">
            <w:pPr>
              <w:numPr>
                <w:ilvl w:val="1"/>
                <w:numId w:val="39"/>
              </w:numPr>
              <w:rPr>
                <w:lang w:val="en-US"/>
              </w:rPr>
            </w:pPr>
            <w:r w:rsidRPr="0036261C">
              <w:rPr>
                <w:lang w:val="en-US"/>
              </w:rPr>
              <w:t>“39GHz” stands for a band group includes n259, n260</w:t>
            </w:r>
          </w:p>
        </w:tc>
      </w:tr>
    </w:tbl>
    <w:p w14:paraId="42318CDA" w14:textId="6208E559" w:rsidR="0036261C" w:rsidRDefault="0036261C" w:rsidP="001D6A52">
      <w:r>
        <w:t xml:space="preserve">independent beam management </w:t>
      </w:r>
      <w:r w:rsidR="00371BA6">
        <w:t>was</w:t>
      </w:r>
      <w:r>
        <w:t xml:space="preserve"> </w:t>
      </w:r>
      <w:r w:rsidR="00C06517">
        <w:t>discussed</w:t>
      </w:r>
      <w:r>
        <w:t xml:space="preserve">. Whether measurements need to be performed from the same direction simultaneously or not </w:t>
      </w:r>
      <w:r w:rsidR="00C06517">
        <w:t>will be</w:t>
      </w:r>
      <w:r>
        <w:t xml:space="preserve"> part of a separate </w:t>
      </w:r>
      <w:r w:rsidR="00C06517">
        <w:t xml:space="preserve">Rel-17 </w:t>
      </w:r>
      <w:r>
        <w:t>SI</w:t>
      </w:r>
      <w:r w:rsidR="00C06517">
        <w:t xml:space="preserve"> in RAN4</w:t>
      </w:r>
      <w:r>
        <w:t xml:space="preserve"> </w:t>
      </w:r>
      <w:r>
        <w:fldChar w:fldCharType="begin"/>
      </w:r>
      <w:r>
        <w:instrText xml:space="preserve"> REF _Ref38903924 \r \h </w:instrText>
      </w:r>
      <w:r>
        <w:fldChar w:fldCharType="separate"/>
      </w:r>
      <w:r w:rsidR="00D20FC8">
        <w:t>[3]</w:t>
      </w:r>
      <w:r>
        <w:fldChar w:fldCharType="end"/>
      </w:r>
    </w:p>
    <w:tbl>
      <w:tblPr>
        <w:tblStyle w:val="TableGrid"/>
        <w:tblW w:w="0" w:type="auto"/>
        <w:tblLook w:val="04A0" w:firstRow="1" w:lastRow="0" w:firstColumn="1" w:lastColumn="0" w:noHBand="0" w:noVBand="1"/>
      </w:tblPr>
      <w:tblGrid>
        <w:gridCol w:w="9631"/>
      </w:tblGrid>
      <w:tr w:rsidR="0036261C" w14:paraId="52E8D00A" w14:textId="77777777" w:rsidTr="0036261C">
        <w:tc>
          <w:tcPr>
            <w:tcW w:w="9631" w:type="dxa"/>
          </w:tcPr>
          <w:p w14:paraId="6F0CD481" w14:textId="77777777" w:rsidR="0036261C" w:rsidRPr="0036261C" w:rsidRDefault="0036261C" w:rsidP="0036261C">
            <w:pPr>
              <w:numPr>
                <w:ilvl w:val="0"/>
                <w:numId w:val="40"/>
              </w:numPr>
              <w:rPr>
                <w:lang w:val="en-US"/>
              </w:rPr>
            </w:pPr>
            <w:r w:rsidRPr="0036261C">
              <w:rPr>
                <w:lang w:val="en-US"/>
              </w:rPr>
              <w:t>Spherical coverage requirements for inter-band CA are tested from single AoA for Rel-16 if the following testability solution can be provided.</w:t>
            </w:r>
          </w:p>
          <w:p w14:paraId="477E49FA" w14:textId="18481BB7" w:rsidR="0036261C" w:rsidRPr="0036261C" w:rsidRDefault="0036261C" w:rsidP="001D6A52">
            <w:pPr>
              <w:numPr>
                <w:ilvl w:val="1"/>
                <w:numId w:val="40"/>
              </w:numPr>
              <w:rPr>
                <w:lang w:val="en-US"/>
              </w:rPr>
            </w:pPr>
            <w:r w:rsidRPr="0036261C">
              <w:rPr>
                <w:lang w:val="en-US"/>
              </w:rPr>
              <w:t>Testability SI will study the TE capability of transmitting 28 GHz + 39 GHz, 28 GHz + 28 GHz, or 39 GHz + 39GHz from same direction simultaneously.</w:t>
            </w:r>
          </w:p>
        </w:tc>
      </w:tr>
    </w:tbl>
    <w:p w14:paraId="148549AE" w14:textId="71F01570" w:rsidR="001D6A52" w:rsidRDefault="00371BA6" w:rsidP="00E03F11">
      <w:r>
        <w:t xml:space="preserve">Considering the independent beam management discussions and the potential need to lock the UL and/or DL beams independently, an extension of the UBF might </w:t>
      </w:r>
      <w:r w:rsidR="005C00A8">
        <w:t xml:space="preserve">eventually </w:t>
      </w:r>
      <w:r>
        <w:t>be required that allows the locking of beams for different CCs independently.</w:t>
      </w:r>
    </w:p>
    <w:p w14:paraId="7FC424B4" w14:textId="4CCCFFE9" w:rsidR="00371BA6" w:rsidRDefault="00371BA6" w:rsidP="00371BA6">
      <w:pPr>
        <w:pStyle w:val="Caption"/>
      </w:pPr>
      <w:bookmarkStart w:id="4" w:name="_Ref38910909"/>
      <w:r>
        <w:t xml:space="preserve">Observation </w:t>
      </w:r>
      <w:r>
        <w:fldChar w:fldCharType="begin"/>
      </w:r>
      <w:r>
        <w:instrText xml:space="preserve"> SEQ Observation \* ARABIC </w:instrText>
      </w:r>
      <w:r>
        <w:fldChar w:fldCharType="separate"/>
      </w:r>
      <w:r w:rsidR="00D20FC8">
        <w:rPr>
          <w:noProof/>
        </w:rPr>
        <w:t>1</w:t>
      </w:r>
      <w:r>
        <w:fldChar w:fldCharType="end"/>
      </w:r>
      <w:r>
        <w:t>: For testing</w:t>
      </w:r>
      <w:r w:rsidR="00C06517">
        <w:t xml:space="preserve"> beyond Rel-15</w:t>
      </w:r>
      <w:r>
        <w:t>,</w:t>
      </w:r>
      <w:r w:rsidRPr="00371BA6">
        <w:t xml:space="preserve"> </w:t>
      </w:r>
      <w:r>
        <w:t>an extension of the UBF might be required that allows the locking of beams for different CCs independently</w:t>
      </w:r>
      <w:bookmarkEnd w:id="4"/>
    </w:p>
    <w:p w14:paraId="61AA7406" w14:textId="2DBBF3E2" w:rsidR="00E6037F" w:rsidRDefault="002B3ED3" w:rsidP="00C06517">
      <w:r>
        <w:t>For Intra-Band Contiguous CA test cases, it is assumed that tests are</w:t>
      </w:r>
      <w:r w:rsidRPr="002B3ED3">
        <w:t xml:space="preserve"> performed at </w:t>
      </w:r>
      <w:r>
        <w:t xml:space="preserve">the beam peak of the </w:t>
      </w:r>
      <w:r w:rsidRPr="002B3ED3">
        <w:t xml:space="preserve">aggregated </w:t>
      </w:r>
      <w:r>
        <w:t>C</w:t>
      </w:r>
      <w:r w:rsidRPr="002B3ED3">
        <w:t>BW</w:t>
      </w:r>
      <w:r w:rsidR="00E6037F">
        <w:t xml:space="preserve">, e.g., as stated in </w:t>
      </w:r>
      <w:r w:rsidR="00E6037F">
        <w:fldChar w:fldCharType="begin"/>
      </w:r>
      <w:r w:rsidR="00E6037F">
        <w:instrText xml:space="preserve"> REF _Ref39499599 \r \h </w:instrText>
      </w:r>
      <w:r w:rsidR="00E6037F">
        <w:fldChar w:fldCharType="separate"/>
      </w:r>
      <w:r w:rsidR="00D20FC8">
        <w:t>[4]</w:t>
      </w:r>
      <w:r w:rsidR="00E6037F">
        <w:fldChar w:fldCharType="end"/>
      </w:r>
    </w:p>
    <w:tbl>
      <w:tblPr>
        <w:tblStyle w:val="TableGrid"/>
        <w:tblW w:w="0" w:type="auto"/>
        <w:tblLook w:val="04A0" w:firstRow="1" w:lastRow="0" w:firstColumn="1" w:lastColumn="0" w:noHBand="0" w:noVBand="1"/>
      </w:tblPr>
      <w:tblGrid>
        <w:gridCol w:w="9631"/>
      </w:tblGrid>
      <w:tr w:rsidR="00E6037F" w14:paraId="39A4FD54" w14:textId="77777777" w:rsidTr="00E6037F">
        <w:tc>
          <w:tcPr>
            <w:tcW w:w="9631" w:type="dxa"/>
          </w:tcPr>
          <w:p w14:paraId="541A2C55" w14:textId="77777777" w:rsidR="00E6037F" w:rsidRDefault="00E6037F" w:rsidP="00E6037F">
            <w:pPr>
              <w:pStyle w:val="Default"/>
              <w:rPr>
                <w:sz w:val="28"/>
                <w:szCs w:val="28"/>
              </w:rPr>
            </w:pPr>
            <w:r>
              <w:rPr>
                <w:sz w:val="28"/>
                <w:szCs w:val="28"/>
              </w:rPr>
              <w:t xml:space="preserve">3.6.3 Applicability for intra-band FR2 </w:t>
            </w:r>
          </w:p>
          <w:p w14:paraId="63EDECDE" w14:textId="0B238E3A" w:rsidR="00E6037F" w:rsidRDefault="00E6037F" w:rsidP="00E6037F">
            <w:r>
              <w:t>For the requirements in RRC connected state specified in this version of the specification, UE shall assume that the transmitted signals from the serving cells should have the same downlink spatial domain transmission filter on one OFDM symbol in the same band in FR2. Otherwise, the UE is not supposed to satisfy any requirements for SCell.</w:t>
            </w:r>
          </w:p>
        </w:tc>
      </w:tr>
    </w:tbl>
    <w:p w14:paraId="1060B350" w14:textId="77777777" w:rsidR="00E6037F" w:rsidRDefault="00E6037F" w:rsidP="00C06517"/>
    <w:p w14:paraId="4EB6022C" w14:textId="6BD3ACF9" w:rsidR="00C06517" w:rsidRDefault="00A20013" w:rsidP="00C06517">
      <w:r>
        <w:lastRenderedPageBreak/>
        <w:t>For these test cases to be executed accurately and reliably, it needs to be guaranteed that the UBF activation is applicable to all component carriers (CC</w:t>
      </w:r>
      <w:r w:rsidR="005C00A8">
        <w:t>s</w:t>
      </w:r>
      <w:r>
        <w:t xml:space="preserve">). It is therefore proposed for the OEMs and chipset vendors to confirm that upon UBF activation, the TX, RX, and TX&amp;RX beams for </w:t>
      </w:r>
      <w:r w:rsidRPr="00A20013">
        <w:rPr>
          <w:u w:val="single"/>
        </w:rPr>
        <w:t>all</w:t>
      </w:r>
      <w:r>
        <w:t xml:space="preserve"> </w:t>
      </w:r>
      <w:r w:rsidR="005C00A8">
        <w:t xml:space="preserve">aggregated </w:t>
      </w:r>
      <w:r>
        <w:t>CCs are locked</w:t>
      </w:r>
      <w:r w:rsidR="00E6037F">
        <w:t xml:space="preserve"> </w:t>
      </w:r>
      <w:r w:rsidR="00E6037F" w:rsidRPr="00E6037F">
        <w:t>for intra-band combinations (either contiguous or non-contiguous)</w:t>
      </w:r>
      <w:r>
        <w:t>.</w:t>
      </w:r>
    </w:p>
    <w:p w14:paraId="62C3F553" w14:textId="10BF8DB4" w:rsidR="00A20013" w:rsidRDefault="00A20013" w:rsidP="00A20013">
      <w:pPr>
        <w:pStyle w:val="Caption"/>
      </w:pPr>
      <w:bookmarkStart w:id="5" w:name="_Ref38988739"/>
      <w:r>
        <w:t xml:space="preserve">Proposal </w:t>
      </w:r>
      <w:r>
        <w:fldChar w:fldCharType="begin"/>
      </w:r>
      <w:r>
        <w:instrText xml:space="preserve"> SEQ Proposal \* ARABIC </w:instrText>
      </w:r>
      <w:r>
        <w:fldChar w:fldCharType="separate"/>
      </w:r>
      <w:r w:rsidR="00D20FC8">
        <w:rPr>
          <w:noProof/>
        </w:rPr>
        <w:t>1</w:t>
      </w:r>
      <w:r>
        <w:fldChar w:fldCharType="end"/>
      </w:r>
      <w:r>
        <w:t xml:space="preserve">: OEMs and chipset vendors to confirm that upon UBF activation, the TX, RX, and TX&amp;RX beams for all </w:t>
      </w:r>
      <w:r w:rsidR="005C00A8">
        <w:t xml:space="preserve">aggregated </w:t>
      </w:r>
      <w:r>
        <w:t>CCs are locke</w:t>
      </w:r>
      <w:r w:rsidR="002D01F2">
        <w:t xml:space="preserve">d </w:t>
      </w:r>
      <w:r w:rsidR="002D01F2" w:rsidRPr="00E6037F">
        <w:t>for intra-band combinations (either contiguous or non-contiguous)</w:t>
      </w:r>
      <w:r w:rsidR="002D01F2">
        <w:t>.</w:t>
      </w:r>
      <w:bookmarkEnd w:id="5"/>
      <w:r w:rsidR="00E6037F">
        <w:t xml:space="preserve"> </w:t>
      </w:r>
    </w:p>
    <w:p w14:paraId="4DF3CBE8" w14:textId="3C6C82EE" w:rsidR="003F0AEA" w:rsidRDefault="003F0AEA" w:rsidP="003F0AEA">
      <w:r>
        <w:t xml:space="preserve">Upon confirmation, it is proposed to augment the UBF definition in </w:t>
      </w:r>
      <w:r>
        <w:fldChar w:fldCharType="begin"/>
      </w:r>
      <w:r>
        <w:instrText xml:space="preserve"> REF _Ref38546743 \r \h </w:instrText>
      </w:r>
      <w:r>
        <w:fldChar w:fldCharType="separate"/>
      </w:r>
      <w:r w:rsidR="00D20FC8">
        <w:t>[1]</w:t>
      </w:r>
      <w:r>
        <w:fldChar w:fldCharType="end"/>
      </w:r>
      <w:r>
        <w:t xml:space="preserve">, e.g., by adding the following statement </w:t>
      </w:r>
    </w:p>
    <w:tbl>
      <w:tblPr>
        <w:tblStyle w:val="TableGrid"/>
        <w:tblW w:w="0" w:type="auto"/>
        <w:tblLook w:val="04A0" w:firstRow="1" w:lastRow="0" w:firstColumn="1" w:lastColumn="0" w:noHBand="0" w:noVBand="1"/>
      </w:tblPr>
      <w:tblGrid>
        <w:gridCol w:w="9631"/>
      </w:tblGrid>
      <w:tr w:rsidR="003F0AEA" w14:paraId="75D65498" w14:textId="77777777" w:rsidTr="003F0AEA">
        <w:tc>
          <w:tcPr>
            <w:tcW w:w="9631" w:type="dxa"/>
          </w:tcPr>
          <w:p w14:paraId="5A86CABA" w14:textId="77777777" w:rsidR="003F0AEA" w:rsidRDefault="003F0AEA" w:rsidP="003F0AEA">
            <w:pPr>
              <w:pStyle w:val="Default"/>
              <w:rPr>
                <w:sz w:val="28"/>
                <w:szCs w:val="28"/>
              </w:rPr>
            </w:pPr>
            <w:r>
              <w:rPr>
                <w:sz w:val="28"/>
                <w:szCs w:val="28"/>
              </w:rPr>
              <w:t xml:space="preserve">5.4.1 General </w:t>
            </w:r>
          </w:p>
          <w:p w14:paraId="3FA69CB3" w14:textId="6461C728" w:rsidR="003F0AEA" w:rsidRDefault="003F0AEA" w:rsidP="003F0AEA">
            <w:r>
              <w:t xml:space="preserve">The UE </w:t>
            </w:r>
            <w:proofErr w:type="spellStart"/>
            <w:r>
              <w:t>Beamlock</w:t>
            </w:r>
            <w:proofErr w:type="spellEnd"/>
            <w:r>
              <w:t xml:space="preserve"> test function is intended for making the UE to lock the UE antenna pattern once it has formed a beam towards the base station (SS) direction following the cell identification procedure in preparation for subsequent test procedures.</w:t>
            </w:r>
            <w:r w:rsidR="00006448">
              <w:t xml:space="preserve"> </w:t>
            </w:r>
            <w:bookmarkStart w:id="6" w:name="_Hlk39654464"/>
            <w:r w:rsidR="00006448" w:rsidRPr="00006448">
              <w:rPr>
                <w:highlight w:val="yellow"/>
              </w:rPr>
              <w:t xml:space="preserve">Activating the UBF shall lock </w:t>
            </w:r>
            <w:r w:rsidR="0068212A">
              <w:rPr>
                <w:highlight w:val="yellow"/>
              </w:rPr>
              <w:t xml:space="preserve">the antenna pattern of </w:t>
            </w:r>
            <w:r w:rsidR="00006448" w:rsidRPr="00006448">
              <w:rPr>
                <w:highlight w:val="yellow"/>
              </w:rPr>
              <w:t xml:space="preserve">all </w:t>
            </w:r>
            <w:r w:rsidR="00006448">
              <w:rPr>
                <w:highlight w:val="yellow"/>
              </w:rPr>
              <w:t xml:space="preserve">active </w:t>
            </w:r>
            <w:r w:rsidR="00E6037F">
              <w:rPr>
                <w:highlight w:val="yellow"/>
              </w:rPr>
              <w:t xml:space="preserve">intra-band </w:t>
            </w:r>
            <w:r w:rsidR="00006448" w:rsidRPr="00006448">
              <w:rPr>
                <w:highlight w:val="yellow"/>
              </w:rPr>
              <w:t>component carriers.</w:t>
            </w:r>
            <w:bookmarkEnd w:id="6"/>
            <w:r w:rsidR="00006448">
              <w:t xml:space="preserve"> </w:t>
            </w:r>
          </w:p>
        </w:tc>
      </w:tr>
    </w:tbl>
    <w:p w14:paraId="69B9DDDB" w14:textId="255AF48C" w:rsidR="003F0AEA" w:rsidRPr="003F0AEA" w:rsidRDefault="00006448" w:rsidP="00006448">
      <w:pPr>
        <w:pStyle w:val="Caption"/>
      </w:pPr>
      <w:bookmarkStart w:id="7" w:name="_Ref38988740"/>
      <w:r>
        <w:t xml:space="preserve">Proposal </w:t>
      </w:r>
      <w:r>
        <w:fldChar w:fldCharType="begin"/>
      </w:r>
      <w:r>
        <w:instrText xml:space="preserve"> SEQ Proposal \* ARABIC </w:instrText>
      </w:r>
      <w:r>
        <w:fldChar w:fldCharType="separate"/>
      </w:r>
      <w:r w:rsidR="00D20FC8">
        <w:rPr>
          <w:noProof/>
        </w:rPr>
        <w:t>2</w:t>
      </w:r>
      <w:r>
        <w:fldChar w:fldCharType="end"/>
      </w:r>
      <w:r>
        <w:t xml:space="preserve">: Augment the UBF definition in </w:t>
      </w:r>
      <w:r>
        <w:fldChar w:fldCharType="begin"/>
      </w:r>
      <w:r>
        <w:instrText xml:space="preserve"> REF _Ref38546743 \r \h </w:instrText>
      </w:r>
      <w:r>
        <w:fldChar w:fldCharType="separate"/>
      </w:r>
      <w:r w:rsidR="00D20FC8">
        <w:t>[1]</w:t>
      </w:r>
      <w:r>
        <w:fldChar w:fldCharType="end"/>
      </w:r>
      <w:r>
        <w:t xml:space="preserve"> to highlight that the UBF activation applies to all</w:t>
      </w:r>
      <w:r w:rsidR="005A59FB">
        <w:t xml:space="preserve"> intra-band</w:t>
      </w:r>
      <w:r>
        <w:t xml:space="preserve"> CCs</w:t>
      </w:r>
      <w:bookmarkEnd w:id="7"/>
    </w:p>
    <w:bookmarkEnd w:id="2"/>
    <w:p w14:paraId="35952390" w14:textId="77777777" w:rsidR="008B0529" w:rsidRDefault="0053435C" w:rsidP="0053435C">
      <w:pPr>
        <w:pStyle w:val="Heading1"/>
        <w:ind w:left="567" w:hanging="567"/>
      </w:pPr>
      <w:r>
        <w:t>Conclusion</w:t>
      </w:r>
    </w:p>
    <w:p w14:paraId="35952391" w14:textId="19E87F8A" w:rsidR="008B0529" w:rsidRDefault="0053435C" w:rsidP="008B0529">
      <w:r>
        <w:t>The following observations and proposals were made in this contribution</w:t>
      </w:r>
    </w:p>
    <w:p w14:paraId="753126E0" w14:textId="7A2812D6" w:rsidR="00006448" w:rsidRPr="009324EB" w:rsidRDefault="00006448" w:rsidP="008B0529">
      <w:pPr>
        <w:rPr>
          <w:b/>
          <w:bCs/>
        </w:rPr>
      </w:pPr>
      <w:r w:rsidRPr="009324EB">
        <w:rPr>
          <w:b/>
          <w:bCs/>
        </w:rPr>
        <w:fldChar w:fldCharType="begin"/>
      </w:r>
      <w:r w:rsidRPr="009324EB">
        <w:rPr>
          <w:b/>
          <w:bCs/>
        </w:rPr>
        <w:instrText xml:space="preserve"> REF _Ref38910909 \h  \* MERGEFORMAT </w:instrText>
      </w:r>
      <w:r w:rsidRPr="009324EB">
        <w:rPr>
          <w:b/>
          <w:bCs/>
        </w:rPr>
      </w:r>
      <w:r w:rsidRPr="009324EB">
        <w:rPr>
          <w:b/>
          <w:bCs/>
        </w:rPr>
        <w:fldChar w:fldCharType="separate"/>
      </w:r>
      <w:r w:rsidR="00D20FC8" w:rsidRPr="00D20FC8">
        <w:rPr>
          <w:b/>
          <w:bCs/>
        </w:rPr>
        <w:t xml:space="preserve">Observation </w:t>
      </w:r>
      <w:r w:rsidR="00D20FC8" w:rsidRPr="00D20FC8">
        <w:rPr>
          <w:b/>
          <w:bCs/>
          <w:noProof/>
        </w:rPr>
        <w:t>1</w:t>
      </w:r>
      <w:r w:rsidR="00D20FC8" w:rsidRPr="00D20FC8">
        <w:rPr>
          <w:b/>
          <w:bCs/>
        </w:rPr>
        <w:t>: For testing beyond Rel-15, an extension of the UBF might be required that allows the locking of beams for different CCs independently</w:t>
      </w:r>
      <w:r w:rsidRPr="009324EB">
        <w:rPr>
          <w:b/>
          <w:bCs/>
        </w:rPr>
        <w:fldChar w:fldCharType="end"/>
      </w:r>
    </w:p>
    <w:p w14:paraId="19F9DB8E" w14:textId="3794DCCE" w:rsidR="00006448" w:rsidRPr="009324EB" w:rsidRDefault="00006448" w:rsidP="008B0529">
      <w:pPr>
        <w:rPr>
          <w:b/>
          <w:bCs/>
        </w:rPr>
      </w:pPr>
      <w:r w:rsidRPr="009324EB">
        <w:rPr>
          <w:b/>
          <w:bCs/>
        </w:rPr>
        <w:fldChar w:fldCharType="begin"/>
      </w:r>
      <w:r w:rsidRPr="009324EB">
        <w:rPr>
          <w:b/>
          <w:bCs/>
        </w:rPr>
        <w:instrText xml:space="preserve"> REF _Ref38988739 \h  \* MERGEFORMAT </w:instrText>
      </w:r>
      <w:r w:rsidRPr="009324EB">
        <w:rPr>
          <w:b/>
          <w:bCs/>
        </w:rPr>
      </w:r>
      <w:r w:rsidRPr="009324EB">
        <w:rPr>
          <w:b/>
          <w:bCs/>
        </w:rPr>
        <w:fldChar w:fldCharType="separate"/>
      </w:r>
      <w:r w:rsidR="00D20FC8" w:rsidRPr="00D20FC8">
        <w:rPr>
          <w:b/>
          <w:bCs/>
        </w:rPr>
        <w:t>Propo</w:t>
      </w:r>
      <w:bookmarkStart w:id="8" w:name="_GoBack"/>
      <w:bookmarkEnd w:id="8"/>
      <w:r w:rsidR="00D20FC8" w:rsidRPr="00D20FC8">
        <w:rPr>
          <w:b/>
          <w:bCs/>
        </w:rPr>
        <w:t xml:space="preserve">sal </w:t>
      </w:r>
      <w:r w:rsidR="00D20FC8" w:rsidRPr="00D20FC8">
        <w:rPr>
          <w:b/>
          <w:bCs/>
          <w:noProof/>
        </w:rPr>
        <w:t>1</w:t>
      </w:r>
      <w:r w:rsidR="00D20FC8" w:rsidRPr="00D20FC8">
        <w:rPr>
          <w:b/>
          <w:bCs/>
        </w:rPr>
        <w:t>: OEMs and chipset vendors to confirm that upon UBF activation, the TX, RX, and TX&amp;RX beams for all aggregated CCs are locked for intra-band combinations (either contiguous or non-contiguous</w:t>
      </w:r>
      <w:r w:rsidR="00D20FC8" w:rsidRPr="00E6037F">
        <w:t>)</w:t>
      </w:r>
      <w:r w:rsidR="00D20FC8">
        <w:t>.</w:t>
      </w:r>
      <w:r w:rsidRPr="009324EB">
        <w:rPr>
          <w:b/>
          <w:bCs/>
        </w:rPr>
        <w:fldChar w:fldCharType="end"/>
      </w:r>
    </w:p>
    <w:p w14:paraId="374644A0" w14:textId="037F2DED" w:rsidR="00006448" w:rsidRPr="009324EB" w:rsidRDefault="00006448" w:rsidP="008B0529">
      <w:pPr>
        <w:rPr>
          <w:b/>
          <w:bCs/>
        </w:rPr>
      </w:pPr>
      <w:r w:rsidRPr="009324EB">
        <w:rPr>
          <w:b/>
          <w:bCs/>
        </w:rPr>
        <w:fldChar w:fldCharType="begin"/>
      </w:r>
      <w:r w:rsidRPr="009324EB">
        <w:rPr>
          <w:b/>
          <w:bCs/>
        </w:rPr>
        <w:instrText xml:space="preserve"> REF _Ref38988740 \h  \* MERGEFORMAT </w:instrText>
      </w:r>
      <w:r w:rsidRPr="009324EB">
        <w:rPr>
          <w:b/>
          <w:bCs/>
        </w:rPr>
      </w:r>
      <w:r w:rsidRPr="009324EB">
        <w:rPr>
          <w:b/>
          <w:bCs/>
        </w:rPr>
        <w:fldChar w:fldCharType="separate"/>
      </w:r>
      <w:r w:rsidR="00D20FC8" w:rsidRPr="00D20FC8">
        <w:rPr>
          <w:b/>
          <w:bCs/>
        </w:rPr>
        <w:t xml:space="preserve">Proposal </w:t>
      </w:r>
      <w:r w:rsidR="00D20FC8" w:rsidRPr="00D20FC8">
        <w:rPr>
          <w:b/>
          <w:bCs/>
          <w:noProof/>
        </w:rPr>
        <w:t>2</w:t>
      </w:r>
      <w:r w:rsidR="00D20FC8" w:rsidRPr="00D20FC8">
        <w:rPr>
          <w:b/>
          <w:bCs/>
        </w:rPr>
        <w:t>: Augment the UBF definition in [1] to highlight that the UBF activation applies to all intra-band CCs</w:t>
      </w:r>
      <w:r w:rsidRPr="009324EB">
        <w:rPr>
          <w:b/>
          <w:bCs/>
        </w:rPr>
        <w:fldChar w:fldCharType="end"/>
      </w:r>
    </w:p>
    <w:p w14:paraId="35952392" w14:textId="77777777" w:rsidR="00DD1C07" w:rsidRDefault="00DD1C07" w:rsidP="00DD1C07">
      <w:pPr>
        <w:pStyle w:val="Heading1"/>
        <w:ind w:left="567" w:hanging="567"/>
      </w:pPr>
      <w:r>
        <w:t>References</w:t>
      </w:r>
    </w:p>
    <w:p w14:paraId="7EA0D38A" w14:textId="77777777" w:rsidR="001D6A52" w:rsidRPr="0036261C" w:rsidRDefault="001D6A52" w:rsidP="001D6A52">
      <w:pPr>
        <w:pStyle w:val="ListParagraph"/>
        <w:numPr>
          <w:ilvl w:val="0"/>
          <w:numId w:val="5"/>
        </w:numPr>
        <w:rPr>
          <w:rFonts w:ascii="Times New Roman" w:eastAsia="Malgun Gothic" w:hAnsi="Times New Roman"/>
          <w:sz w:val="20"/>
          <w:szCs w:val="20"/>
          <w:lang w:val="en-GB"/>
        </w:rPr>
      </w:pPr>
      <w:bookmarkStart w:id="9" w:name="_Ref38546743"/>
      <w:r w:rsidRPr="0036261C">
        <w:rPr>
          <w:rFonts w:ascii="Times New Roman" w:eastAsia="Malgun Gothic" w:hAnsi="Times New Roman"/>
          <w:sz w:val="20"/>
          <w:szCs w:val="20"/>
          <w:lang w:val="en-GB"/>
        </w:rPr>
        <w:t>TS 38.509, Special conformance testing functions for User Equipment (UE), V15.7.0 (2020-03)</w:t>
      </w:r>
      <w:bookmarkEnd w:id="9"/>
    </w:p>
    <w:p w14:paraId="35952393" w14:textId="778AC1CF" w:rsidR="000547AB" w:rsidRPr="0036261C" w:rsidRDefault="001D6A52" w:rsidP="00236683">
      <w:pPr>
        <w:numPr>
          <w:ilvl w:val="0"/>
          <w:numId w:val="5"/>
        </w:numPr>
        <w:tabs>
          <w:tab w:val="left" w:pos="426"/>
        </w:tabs>
        <w:overflowPunct w:val="0"/>
        <w:autoSpaceDE w:val="0"/>
        <w:autoSpaceDN w:val="0"/>
        <w:adjustRightInd w:val="0"/>
        <w:textAlignment w:val="baseline"/>
      </w:pPr>
      <w:bookmarkStart w:id="10" w:name="_Ref38903634"/>
      <w:r w:rsidRPr="0036261C">
        <w:t>R4-1916024, WF on FR2 inter-band DL CA, Nokia, 3GPP TSG-RAN WG4 Meeting #93, November 2019</w:t>
      </w:r>
      <w:bookmarkEnd w:id="10"/>
    </w:p>
    <w:p w14:paraId="213A112C" w14:textId="335BAEA8" w:rsidR="0036261C" w:rsidRDefault="0036261C" w:rsidP="00371BA6">
      <w:pPr>
        <w:pStyle w:val="ListParagraph"/>
        <w:numPr>
          <w:ilvl w:val="0"/>
          <w:numId w:val="5"/>
        </w:numPr>
        <w:spacing w:after="160" w:line="259" w:lineRule="auto"/>
        <w:rPr>
          <w:rFonts w:ascii="Times New Roman" w:hAnsi="Times New Roman"/>
          <w:sz w:val="20"/>
          <w:szCs w:val="20"/>
        </w:rPr>
      </w:pPr>
      <w:bookmarkStart w:id="11" w:name="_Ref38903924"/>
      <w:r w:rsidRPr="0036261C">
        <w:rPr>
          <w:rFonts w:ascii="Times New Roman" w:hAnsi="Times New Roman"/>
          <w:sz w:val="20"/>
          <w:szCs w:val="20"/>
        </w:rPr>
        <w:t>RP-192322, New SID: Study on enhanced test methods for FR2, Apple Inc., CAICT, 3GPP TSG-RAN Meeting #85, September 2019</w:t>
      </w:r>
      <w:bookmarkEnd w:id="11"/>
    </w:p>
    <w:p w14:paraId="5F4830E1" w14:textId="362752A0" w:rsidR="00E6037F" w:rsidRPr="00E6037F" w:rsidRDefault="00E6037F" w:rsidP="00E6037F">
      <w:pPr>
        <w:pStyle w:val="ListParagraph"/>
        <w:numPr>
          <w:ilvl w:val="0"/>
          <w:numId w:val="5"/>
        </w:numPr>
        <w:rPr>
          <w:rFonts w:ascii="Times New Roman" w:hAnsi="Times New Roman"/>
          <w:sz w:val="20"/>
          <w:szCs w:val="20"/>
        </w:rPr>
      </w:pPr>
      <w:bookmarkStart w:id="12" w:name="_Ref39499599"/>
      <w:r w:rsidRPr="00E6037F">
        <w:rPr>
          <w:rFonts w:ascii="Times New Roman" w:hAnsi="Times New Roman"/>
          <w:sz w:val="20"/>
          <w:szCs w:val="20"/>
        </w:rPr>
        <w:t>TS 38.133, Requirements for support of radio resource management, V16.3.0 (2020-03)</w:t>
      </w:r>
      <w:bookmarkEnd w:id="12"/>
    </w:p>
    <w:sectPr w:rsidR="00E6037F" w:rsidRPr="00E6037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38F3B" w14:textId="77777777" w:rsidR="00AA435B" w:rsidRDefault="00AA435B">
      <w:r>
        <w:separator/>
      </w:r>
    </w:p>
  </w:endnote>
  <w:endnote w:type="continuationSeparator" w:id="0">
    <w:p w14:paraId="2B745E73" w14:textId="77777777" w:rsidR="00AA435B" w:rsidRDefault="00AA435B">
      <w:r>
        <w:continuationSeparator/>
      </w:r>
    </w:p>
  </w:endnote>
  <w:endnote w:type="continuationNotice" w:id="1">
    <w:p w14:paraId="10E66845" w14:textId="77777777" w:rsidR="00AA435B" w:rsidRDefault="00AA43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8D1A" w14:textId="77777777" w:rsidR="00AA435B" w:rsidRDefault="00AA435B">
      <w:r>
        <w:separator/>
      </w:r>
    </w:p>
  </w:footnote>
  <w:footnote w:type="continuationSeparator" w:id="0">
    <w:p w14:paraId="3D6D4D42" w14:textId="77777777" w:rsidR="00AA435B" w:rsidRDefault="00AA435B">
      <w:r>
        <w:continuationSeparator/>
      </w:r>
    </w:p>
  </w:footnote>
  <w:footnote w:type="continuationNotice" w:id="1">
    <w:p w14:paraId="3391714E" w14:textId="77777777" w:rsidR="00AA435B" w:rsidRDefault="00AA43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D0A0BF3"/>
    <w:multiLevelType w:val="hybridMultilevel"/>
    <w:tmpl w:val="12E0870A"/>
    <w:lvl w:ilvl="0" w:tplc="FE907D94">
      <w:start w:val="1"/>
      <w:numFmt w:val="bullet"/>
      <w:lvlText w:val="•"/>
      <w:lvlJc w:val="left"/>
      <w:pPr>
        <w:tabs>
          <w:tab w:val="num" w:pos="720"/>
        </w:tabs>
        <w:ind w:left="720" w:hanging="360"/>
      </w:pPr>
      <w:rPr>
        <w:rFonts w:ascii="Arial" w:hAnsi="Arial" w:hint="default"/>
      </w:rPr>
    </w:lvl>
    <w:lvl w:ilvl="1" w:tplc="36C0AED2">
      <w:numFmt w:val="bullet"/>
      <w:lvlText w:val="•"/>
      <w:lvlJc w:val="left"/>
      <w:pPr>
        <w:tabs>
          <w:tab w:val="num" w:pos="1440"/>
        </w:tabs>
        <w:ind w:left="1440" w:hanging="360"/>
      </w:pPr>
      <w:rPr>
        <w:rFonts w:ascii="Arial" w:hAnsi="Arial" w:hint="default"/>
      </w:rPr>
    </w:lvl>
    <w:lvl w:ilvl="2" w:tplc="427C15AE" w:tentative="1">
      <w:start w:val="1"/>
      <w:numFmt w:val="bullet"/>
      <w:lvlText w:val="•"/>
      <w:lvlJc w:val="left"/>
      <w:pPr>
        <w:tabs>
          <w:tab w:val="num" w:pos="2160"/>
        </w:tabs>
        <w:ind w:left="2160" w:hanging="360"/>
      </w:pPr>
      <w:rPr>
        <w:rFonts w:ascii="Arial" w:hAnsi="Arial" w:hint="default"/>
      </w:rPr>
    </w:lvl>
    <w:lvl w:ilvl="3" w:tplc="F6DC0A48" w:tentative="1">
      <w:start w:val="1"/>
      <w:numFmt w:val="bullet"/>
      <w:lvlText w:val="•"/>
      <w:lvlJc w:val="left"/>
      <w:pPr>
        <w:tabs>
          <w:tab w:val="num" w:pos="2880"/>
        </w:tabs>
        <w:ind w:left="2880" w:hanging="360"/>
      </w:pPr>
      <w:rPr>
        <w:rFonts w:ascii="Arial" w:hAnsi="Arial" w:hint="default"/>
      </w:rPr>
    </w:lvl>
    <w:lvl w:ilvl="4" w:tplc="E17A8898" w:tentative="1">
      <w:start w:val="1"/>
      <w:numFmt w:val="bullet"/>
      <w:lvlText w:val="•"/>
      <w:lvlJc w:val="left"/>
      <w:pPr>
        <w:tabs>
          <w:tab w:val="num" w:pos="3600"/>
        </w:tabs>
        <w:ind w:left="3600" w:hanging="360"/>
      </w:pPr>
      <w:rPr>
        <w:rFonts w:ascii="Arial" w:hAnsi="Arial" w:hint="default"/>
      </w:rPr>
    </w:lvl>
    <w:lvl w:ilvl="5" w:tplc="95160574" w:tentative="1">
      <w:start w:val="1"/>
      <w:numFmt w:val="bullet"/>
      <w:lvlText w:val="•"/>
      <w:lvlJc w:val="left"/>
      <w:pPr>
        <w:tabs>
          <w:tab w:val="num" w:pos="4320"/>
        </w:tabs>
        <w:ind w:left="4320" w:hanging="360"/>
      </w:pPr>
      <w:rPr>
        <w:rFonts w:ascii="Arial" w:hAnsi="Arial" w:hint="default"/>
      </w:rPr>
    </w:lvl>
    <w:lvl w:ilvl="6" w:tplc="9C3E6ABA" w:tentative="1">
      <w:start w:val="1"/>
      <w:numFmt w:val="bullet"/>
      <w:lvlText w:val="•"/>
      <w:lvlJc w:val="left"/>
      <w:pPr>
        <w:tabs>
          <w:tab w:val="num" w:pos="5040"/>
        </w:tabs>
        <w:ind w:left="5040" w:hanging="360"/>
      </w:pPr>
      <w:rPr>
        <w:rFonts w:ascii="Arial" w:hAnsi="Arial" w:hint="default"/>
      </w:rPr>
    </w:lvl>
    <w:lvl w:ilvl="7" w:tplc="CAF227C6" w:tentative="1">
      <w:start w:val="1"/>
      <w:numFmt w:val="bullet"/>
      <w:lvlText w:val="•"/>
      <w:lvlJc w:val="left"/>
      <w:pPr>
        <w:tabs>
          <w:tab w:val="num" w:pos="5760"/>
        </w:tabs>
        <w:ind w:left="5760" w:hanging="360"/>
      </w:pPr>
      <w:rPr>
        <w:rFonts w:ascii="Arial" w:hAnsi="Arial" w:hint="default"/>
      </w:rPr>
    </w:lvl>
    <w:lvl w:ilvl="8" w:tplc="2612CF6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946EE1"/>
    <w:multiLevelType w:val="hybridMultilevel"/>
    <w:tmpl w:val="0F741FC2"/>
    <w:lvl w:ilvl="0" w:tplc="D1C6211E">
      <w:start w:val="1"/>
      <w:numFmt w:val="bullet"/>
      <w:lvlText w:val="•"/>
      <w:lvlJc w:val="left"/>
      <w:pPr>
        <w:tabs>
          <w:tab w:val="num" w:pos="720"/>
        </w:tabs>
        <w:ind w:left="720" w:hanging="360"/>
      </w:pPr>
      <w:rPr>
        <w:rFonts w:ascii="Arial" w:hAnsi="Arial" w:hint="default"/>
      </w:rPr>
    </w:lvl>
    <w:lvl w:ilvl="1" w:tplc="F1282DBE">
      <w:numFmt w:val="bullet"/>
      <w:lvlText w:val="•"/>
      <w:lvlJc w:val="left"/>
      <w:pPr>
        <w:tabs>
          <w:tab w:val="num" w:pos="1440"/>
        </w:tabs>
        <w:ind w:left="1440" w:hanging="360"/>
      </w:pPr>
      <w:rPr>
        <w:rFonts w:ascii="Arial" w:hAnsi="Arial" w:hint="default"/>
      </w:rPr>
    </w:lvl>
    <w:lvl w:ilvl="2" w:tplc="5D42FFD4" w:tentative="1">
      <w:start w:val="1"/>
      <w:numFmt w:val="bullet"/>
      <w:lvlText w:val="•"/>
      <w:lvlJc w:val="left"/>
      <w:pPr>
        <w:tabs>
          <w:tab w:val="num" w:pos="2160"/>
        </w:tabs>
        <w:ind w:left="2160" w:hanging="360"/>
      </w:pPr>
      <w:rPr>
        <w:rFonts w:ascii="Arial" w:hAnsi="Arial" w:hint="default"/>
      </w:rPr>
    </w:lvl>
    <w:lvl w:ilvl="3" w:tplc="0178CF24" w:tentative="1">
      <w:start w:val="1"/>
      <w:numFmt w:val="bullet"/>
      <w:lvlText w:val="•"/>
      <w:lvlJc w:val="left"/>
      <w:pPr>
        <w:tabs>
          <w:tab w:val="num" w:pos="2880"/>
        </w:tabs>
        <w:ind w:left="2880" w:hanging="360"/>
      </w:pPr>
      <w:rPr>
        <w:rFonts w:ascii="Arial" w:hAnsi="Arial" w:hint="default"/>
      </w:rPr>
    </w:lvl>
    <w:lvl w:ilvl="4" w:tplc="1598ECA4" w:tentative="1">
      <w:start w:val="1"/>
      <w:numFmt w:val="bullet"/>
      <w:lvlText w:val="•"/>
      <w:lvlJc w:val="left"/>
      <w:pPr>
        <w:tabs>
          <w:tab w:val="num" w:pos="3600"/>
        </w:tabs>
        <w:ind w:left="3600" w:hanging="360"/>
      </w:pPr>
      <w:rPr>
        <w:rFonts w:ascii="Arial" w:hAnsi="Arial" w:hint="default"/>
      </w:rPr>
    </w:lvl>
    <w:lvl w:ilvl="5" w:tplc="CE5E821C" w:tentative="1">
      <w:start w:val="1"/>
      <w:numFmt w:val="bullet"/>
      <w:lvlText w:val="•"/>
      <w:lvlJc w:val="left"/>
      <w:pPr>
        <w:tabs>
          <w:tab w:val="num" w:pos="4320"/>
        </w:tabs>
        <w:ind w:left="4320" w:hanging="360"/>
      </w:pPr>
      <w:rPr>
        <w:rFonts w:ascii="Arial" w:hAnsi="Arial" w:hint="default"/>
      </w:rPr>
    </w:lvl>
    <w:lvl w:ilvl="6" w:tplc="05B8B9A4" w:tentative="1">
      <w:start w:val="1"/>
      <w:numFmt w:val="bullet"/>
      <w:lvlText w:val="•"/>
      <w:lvlJc w:val="left"/>
      <w:pPr>
        <w:tabs>
          <w:tab w:val="num" w:pos="5040"/>
        </w:tabs>
        <w:ind w:left="5040" w:hanging="360"/>
      </w:pPr>
      <w:rPr>
        <w:rFonts w:ascii="Arial" w:hAnsi="Arial" w:hint="default"/>
      </w:rPr>
    </w:lvl>
    <w:lvl w:ilvl="7" w:tplc="64BE3920" w:tentative="1">
      <w:start w:val="1"/>
      <w:numFmt w:val="bullet"/>
      <w:lvlText w:val="•"/>
      <w:lvlJc w:val="left"/>
      <w:pPr>
        <w:tabs>
          <w:tab w:val="num" w:pos="5760"/>
        </w:tabs>
        <w:ind w:left="5760" w:hanging="360"/>
      </w:pPr>
      <w:rPr>
        <w:rFonts w:ascii="Arial" w:hAnsi="Arial" w:hint="default"/>
      </w:rPr>
    </w:lvl>
    <w:lvl w:ilvl="8" w:tplc="DA06909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3"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5"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4"/>
  </w:num>
  <w:num w:numId="5">
    <w:abstractNumId w:val="2"/>
  </w:num>
  <w:num w:numId="6">
    <w:abstractNumId w:val="16"/>
  </w:num>
  <w:num w:numId="7">
    <w:abstractNumId w:val="13"/>
  </w:num>
  <w:num w:numId="8">
    <w:abstractNumId w:val="8"/>
  </w:num>
  <w:num w:numId="9">
    <w:abstractNumId w:val="21"/>
  </w:num>
  <w:num w:numId="10">
    <w:abstractNumId w:val="5"/>
  </w:num>
  <w:num w:numId="11">
    <w:abstractNumId w:val="27"/>
  </w:num>
  <w:num w:numId="12">
    <w:abstractNumId w:val="11"/>
  </w:num>
  <w:num w:numId="13">
    <w:abstractNumId w:val="25"/>
  </w:num>
  <w:num w:numId="14">
    <w:abstractNumId w:val="33"/>
  </w:num>
  <w:num w:numId="15">
    <w:abstractNumId w:val="10"/>
  </w:num>
  <w:num w:numId="16">
    <w:abstractNumId w:val="32"/>
  </w:num>
  <w:num w:numId="17">
    <w:abstractNumId w:val="7"/>
  </w:num>
  <w:num w:numId="18">
    <w:abstractNumId w:val="23"/>
  </w:num>
  <w:num w:numId="19">
    <w:abstractNumId w:val="19"/>
  </w:num>
  <w:num w:numId="20">
    <w:abstractNumId w:val="24"/>
  </w:num>
  <w:num w:numId="21">
    <w:abstractNumId w:val="31"/>
  </w:num>
  <w:num w:numId="22">
    <w:abstractNumId w:val="22"/>
  </w:num>
  <w:num w:numId="23">
    <w:abstractNumId w:val="20"/>
  </w:num>
  <w:num w:numId="24">
    <w:abstractNumId w:val="9"/>
  </w:num>
  <w:num w:numId="25">
    <w:abstractNumId w:val="4"/>
  </w:num>
  <w:num w:numId="26">
    <w:abstractNumId w:val="23"/>
  </w:num>
  <w:num w:numId="27">
    <w:abstractNumId w:val="23"/>
  </w:num>
  <w:num w:numId="28">
    <w:abstractNumId w:val="23"/>
  </w:num>
  <w:num w:numId="29">
    <w:abstractNumId w:val="17"/>
  </w:num>
  <w:num w:numId="30">
    <w:abstractNumId w:val="15"/>
  </w:num>
  <w:num w:numId="31">
    <w:abstractNumId w:val="36"/>
  </w:num>
  <w:num w:numId="32">
    <w:abstractNumId w:val="30"/>
  </w:num>
  <w:num w:numId="33">
    <w:abstractNumId w:val="35"/>
  </w:num>
  <w:num w:numId="34">
    <w:abstractNumId w:val="14"/>
  </w:num>
  <w:num w:numId="35">
    <w:abstractNumId w:val="6"/>
  </w:num>
  <w:num w:numId="36">
    <w:abstractNumId w:val="1"/>
  </w:num>
  <w:num w:numId="37">
    <w:abstractNumId w:val="28"/>
  </w:num>
  <w:num w:numId="38">
    <w:abstractNumId w:val="12"/>
  </w:num>
  <w:num w:numId="39">
    <w:abstractNumId w:val="26"/>
  </w:num>
  <w:num w:numId="40">
    <w:abstractNumId w:val="29"/>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448"/>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4A15"/>
    <w:rsid w:val="001C687E"/>
    <w:rsid w:val="001D0D8E"/>
    <w:rsid w:val="001D6A52"/>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11F7"/>
    <w:rsid w:val="002B3ED3"/>
    <w:rsid w:val="002B3F06"/>
    <w:rsid w:val="002B4D62"/>
    <w:rsid w:val="002C1E1B"/>
    <w:rsid w:val="002C2040"/>
    <w:rsid w:val="002C7D13"/>
    <w:rsid w:val="002D01F2"/>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CD"/>
    <w:rsid w:val="003450DD"/>
    <w:rsid w:val="00347574"/>
    <w:rsid w:val="00353724"/>
    <w:rsid w:val="00353E42"/>
    <w:rsid w:val="00353FAE"/>
    <w:rsid w:val="0036261C"/>
    <w:rsid w:val="00364DC7"/>
    <w:rsid w:val="00365EF7"/>
    <w:rsid w:val="00366F9B"/>
    <w:rsid w:val="00367724"/>
    <w:rsid w:val="003679B5"/>
    <w:rsid w:val="00371BA6"/>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0AEA"/>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59FB"/>
    <w:rsid w:val="005A616F"/>
    <w:rsid w:val="005A6F48"/>
    <w:rsid w:val="005C00A8"/>
    <w:rsid w:val="005C239F"/>
    <w:rsid w:val="005C331B"/>
    <w:rsid w:val="005C4593"/>
    <w:rsid w:val="005E12CD"/>
    <w:rsid w:val="005E2985"/>
    <w:rsid w:val="005E5D66"/>
    <w:rsid w:val="005F3B1B"/>
    <w:rsid w:val="00607D98"/>
    <w:rsid w:val="0061059A"/>
    <w:rsid w:val="006126CA"/>
    <w:rsid w:val="006131BB"/>
    <w:rsid w:val="00613B1E"/>
    <w:rsid w:val="00616FB0"/>
    <w:rsid w:val="006210C4"/>
    <w:rsid w:val="00622B32"/>
    <w:rsid w:val="00634928"/>
    <w:rsid w:val="00635671"/>
    <w:rsid w:val="00636ABD"/>
    <w:rsid w:val="00645857"/>
    <w:rsid w:val="00645A07"/>
    <w:rsid w:val="006468DD"/>
    <w:rsid w:val="00651C2B"/>
    <w:rsid w:val="006537BF"/>
    <w:rsid w:val="00653DF0"/>
    <w:rsid w:val="006543EF"/>
    <w:rsid w:val="0065492A"/>
    <w:rsid w:val="00654D11"/>
    <w:rsid w:val="00656A7B"/>
    <w:rsid w:val="00665AD3"/>
    <w:rsid w:val="0068212A"/>
    <w:rsid w:val="00683EDA"/>
    <w:rsid w:val="006856E5"/>
    <w:rsid w:val="006937D0"/>
    <w:rsid w:val="00695755"/>
    <w:rsid w:val="00696BE5"/>
    <w:rsid w:val="00696D0A"/>
    <w:rsid w:val="006974B7"/>
    <w:rsid w:val="006A03F3"/>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1227"/>
    <w:rsid w:val="00735C81"/>
    <w:rsid w:val="00736A17"/>
    <w:rsid w:val="007373B0"/>
    <w:rsid w:val="007403F2"/>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21AD"/>
    <w:rsid w:val="008D7BED"/>
    <w:rsid w:val="008E4413"/>
    <w:rsid w:val="008E4684"/>
    <w:rsid w:val="008E4F84"/>
    <w:rsid w:val="008F08D9"/>
    <w:rsid w:val="008F1346"/>
    <w:rsid w:val="008F540C"/>
    <w:rsid w:val="008F7D93"/>
    <w:rsid w:val="0090512F"/>
    <w:rsid w:val="0090524D"/>
    <w:rsid w:val="009064E9"/>
    <w:rsid w:val="009076E4"/>
    <w:rsid w:val="00911B1A"/>
    <w:rsid w:val="00916F35"/>
    <w:rsid w:val="00925B2A"/>
    <w:rsid w:val="00931702"/>
    <w:rsid w:val="00931918"/>
    <w:rsid w:val="009324EB"/>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001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435B"/>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5AD3"/>
    <w:rsid w:val="00B0589A"/>
    <w:rsid w:val="00B14BC8"/>
    <w:rsid w:val="00B1707D"/>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4116"/>
    <w:rsid w:val="00C050BC"/>
    <w:rsid w:val="00C050CF"/>
    <w:rsid w:val="00C06487"/>
    <w:rsid w:val="00C06517"/>
    <w:rsid w:val="00C065DE"/>
    <w:rsid w:val="00C1494B"/>
    <w:rsid w:val="00C14DE6"/>
    <w:rsid w:val="00C15AC6"/>
    <w:rsid w:val="00C16052"/>
    <w:rsid w:val="00C1643C"/>
    <w:rsid w:val="00C209B5"/>
    <w:rsid w:val="00C26EE8"/>
    <w:rsid w:val="00C313B8"/>
    <w:rsid w:val="00C31D69"/>
    <w:rsid w:val="00C401B8"/>
    <w:rsid w:val="00C42F12"/>
    <w:rsid w:val="00C451D8"/>
    <w:rsid w:val="00C460DF"/>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B0D58"/>
    <w:rsid w:val="00CB29E4"/>
    <w:rsid w:val="00CB5BF2"/>
    <w:rsid w:val="00CC15A4"/>
    <w:rsid w:val="00CC28A9"/>
    <w:rsid w:val="00CC6580"/>
    <w:rsid w:val="00CC6FE0"/>
    <w:rsid w:val="00CC75FD"/>
    <w:rsid w:val="00CE0386"/>
    <w:rsid w:val="00CF0031"/>
    <w:rsid w:val="00CF0C99"/>
    <w:rsid w:val="00CF46D3"/>
    <w:rsid w:val="00CF61F2"/>
    <w:rsid w:val="00D076FD"/>
    <w:rsid w:val="00D1118A"/>
    <w:rsid w:val="00D12CB8"/>
    <w:rsid w:val="00D16CE2"/>
    <w:rsid w:val="00D20FC8"/>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5ABC"/>
    <w:rsid w:val="00E56168"/>
    <w:rsid w:val="00E57B74"/>
    <w:rsid w:val="00E57FEF"/>
    <w:rsid w:val="00E6037F"/>
    <w:rsid w:val="00E642B3"/>
    <w:rsid w:val="00E70C18"/>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51E2"/>
    <w:rsid w:val="00F37710"/>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36261C"/>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0986460">
      <w:bodyDiv w:val="1"/>
      <w:marLeft w:val="0"/>
      <w:marRight w:val="0"/>
      <w:marTop w:val="0"/>
      <w:marBottom w:val="0"/>
      <w:divBdr>
        <w:top w:val="none" w:sz="0" w:space="0" w:color="auto"/>
        <w:left w:val="none" w:sz="0" w:space="0" w:color="auto"/>
        <w:bottom w:val="none" w:sz="0" w:space="0" w:color="auto"/>
        <w:right w:val="none" w:sz="0" w:space="0" w:color="auto"/>
      </w:divBdr>
      <w:divsChild>
        <w:div w:id="1945267535">
          <w:marLeft w:val="360"/>
          <w:marRight w:val="0"/>
          <w:marTop w:val="200"/>
          <w:marBottom w:val="0"/>
          <w:divBdr>
            <w:top w:val="none" w:sz="0" w:space="0" w:color="auto"/>
            <w:left w:val="none" w:sz="0" w:space="0" w:color="auto"/>
            <w:bottom w:val="none" w:sz="0" w:space="0" w:color="auto"/>
            <w:right w:val="none" w:sz="0" w:space="0" w:color="auto"/>
          </w:divBdr>
        </w:div>
        <w:div w:id="1503013468">
          <w:marLeft w:val="1080"/>
          <w:marRight w:val="0"/>
          <w:marTop w:val="100"/>
          <w:marBottom w:val="0"/>
          <w:divBdr>
            <w:top w:val="none" w:sz="0" w:space="0" w:color="auto"/>
            <w:left w:val="none" w:sz="0" w:space="0" w:color="auto"/>
            <w:bottom w:val="none" w:sz="0" w:space="0" w:color="auto"/>
            <w:right w:val="none" w:sz="0" w:space="0" w:color="auto"/>
          </w:divBdr>
        </w:div>
        <w:div w:id="612056303">
          <w:marLeft w:val="1080"/>
          <w:marRight w:val="0"/>
          <w:marTop w:val="100"/>
          <w:marBottom w:val="0"/>
          <w:divBdr>
            <w:top w:val="none" w:sz="0" w:space="0" w:color="auto"/>
            <w:left w:val="none" w:sz="0" w:space="0" w:color="auto"/>
            <w:bottom w:val="none" w:sz="0" w:space="0" w:color="auto"/>
            <w:right w:val="none" w:sz="0" w:space="0" w:color="auto"/>
          </w:divBdr>
        </w:div>
        <w:div w:id="1735466270">
          <w:marLeft w:val="360"/>
          <w:marRight w:val="0"/>
          <w:marTop w:val="200"/>
          <w:marBottom w:val="0"/>
          <w:divBdr>
            <w:top w:val="none" w:sz="0" w:space="0" w:color="auto"/>
            <w:left w:val="none" w:sz="0" w:space="0" w:color="auto"/>
            <w:bottom w:val="none" w:sz="0" w:space="0" w:color="auto"/>
            <w:right w:val="none" w:sz="0" w:space="0" w:color="auto"/>
          </w:divBdr>
        </w:div>
        <w:div w:id="1238708931">
          <w:marLeft w:val="1080"/>
          <w:marRight w:val="0"/>
          <w:marTop w:val="100"/>
          <w:marBottom w:val="0"/>
          <w:divBdr>
            <w:top w:val="none" w:sz="0" w:space="0" w:color="auto"/>
            <w:left w:val="none" w:sz="0" w:space="0" w:color="auto"/>
            <w:bottom w:val="none" w:sz="0" w:space="0" w:color="auto"/>
            <w:right w:val="none" w:sz="0" w:space="0" w:color="auto"/>
          </w:divBdr>
        </w:div>
        <w:div w:id="1372533742">
          <w:marLeft w:val="1080"/>
          <w:marRight w:val="0"/>
          <w:marTop w:val="100"/>
          <w:marBottom w:val="0"/>
          <w:divBdr>
            <w:top w:val="none" w:sz="0" w:space="0" w:color="auto"/>
            <w:left w:val="none" w:sz="0" w:space="0" w:color="auto"/>
            <w:bottom w:val="none" w:sz="0" w:space="0" w:color="auto"/>
            <w:right w:val="none" w:sz="0" w:space="0" w:color="auto"/>
          </w:divBdr>
        </w:div>
      </w:divsChild>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57145897">
      <w:bodyDiv w:val="1"/>
      <w:marLeft w:val="0"/>
      <w:marRight w:val="0"/>
      <w:marTop w:val="0"/>
      <w:marBottom w:val="0"/>
      <w:divBdr>
        <w:top w:val="none" w:sz="0" w:space="0" w:color="auto"/>
        <w:left w:val="none" w:sz="0" w:space="0" w:color="auto"/>
        <w:bottom w:val="none" w:sz="0" w:space="0" w:color="auto"/>
        <w:right w:val="none" w:sz="0" w:space="0" w:color="auto"/>
      </w:divBdr>
      <w:divsChild>
        <w:div w:id="796873077">
          <w:marLeft w:val="360"/>
          <w:marRight w:val="0"/>
          <w:marTop w:val="200"/>
          <w:marBottom w:val="0"/>
          <w:divBdr>
            <w:top w:val="none" w:sz="0" w:space="0" w:color="auto"/>
            <w:left w:val="none" w:sz="0" w:space="0" w:color="auto"/>
            <w:bottom w:val="none" w:sz="0" w:space="0" w:color="auto"/>
            <w:right w:val="none" w:sz="0" w:space="0" w:color="auto"/>
          </w:divBdr>
        </w:div>
        <w:div w:id="1412313401">
          <w:marLeft w:val="1080"/>
          <w:marRight w:val="0"/>
          <w:marTop w:val="100"/>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28550324">
      <w:bodyDiv w:val="1"/>
      <w:marLeft w:val="0"/>
      <w:marRight w:val="0"/>
      <w:marTop w:val="0"/>
      <w:marBottom w:val="0"/>
      <w:divBdr>
        <w:top w:val="none" w:sz="0" w:space="0" w:color="auto"/>
        <w:left w:val="none" w:sz="0" w:space="0" w:color="auto"/>
        <w:bottom w:val="none" w:sz="0" w:space="0" w:color="auto"/>
        <w:right w:val="none" w:sz="0" w:space="0" w:color="auto"/>
      </w:divBdr>
      <w:divsChild>
        <w:div w:id="138889460">
          <w:marLeft w:val="360"/>
          <w:marRight w:val="0"/>
          <w:marTop w:val="200"/>
          <w:marBottom w:val="0"/>
          <w:divBdr>
            <w:top w:val="none" w:sz="0" w:space="0" w:color="auto"/>
            <w:left w:val="none" w:sz="0" w:space="0" w:color="auto"/>
            <w:bottom w:val="none" w:sz="0" w:space="0" w:color="auto"/>
            <w:right w:val="none" w:sz="0" w:space="0" w:color="auto"/>
          </w:divBdr>
        </w:div>
        <w:div w:id="173224456">
          <w:marLeft w:val="108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B8DE3-FD5E-4CC7-B669-D1F10BD3FE2A}">
  <ds:schemaRefs>
    <ds:schemaRef ds:uri="http://schemas.microsoft.com/office/2006/documentManagement/types"/>
    <ds:schemaRef ds:uri="http://purl.org/dc/elements/1.1/"/>
    <ds:schemaRef ds:uri="http://purl.org/dc/terms/"/>
    <ds:schemaRef ds:uri="bdd78157-346c-4767-bfdd-352789a5c5f1"/>
    <ds:schemaRef ds:uri="http://purl.org/dc/dcmitype/"/>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878f5c59-aec9-459c-acf8-8cf941473193"/>
  </ds:schemaRefs>
</ds:datastoreItem>
</file>

<file path=customXml/itemProps4.xml><?xml version="1.0" encoding="utf-8"?>
<ds:datastoreItem xmlns:ds="http://schemas.openxmlformats.org/officeDocument/2006/customXml" ds:itemID="{E5DE9DBD-7821-4849-BAFB-2EFF51A54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Pages>
  <Words>744</Words>
  <Characters>4337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25</cp:revision>
  <dcterms:created xsi:type="dcterms:W3CDTF">2019-06-30T20:45:00Z</dcterms:created>
  <dcterms:modified xsi:type="dcterms:W3CDTF">2020-05-08T22:03:00Z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